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Course Proposal for the Loyola Core - Sport &amp; Society in 20th Century Africa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5185546875" w:line="240" w:lineRule="auto"/>
        <w:ind w:left="2.6400756835937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Department: History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20263671875" w:line="240" w:lineRule="auto"/>
        <w:ind w:left="5.0399780273437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Instructor: Dawson McCall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904296875" w:line="240" w:lineRule="auto"/>
        <w:ind w:left="1.19995117187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LC Section: History II, 200 Level (Knowledge &amp; Values Courses)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519775390625" w:line="258.8407230377197" w:lineRule="auto"/>
        <w:ind w:left="358.5600280761719" w:right="75.240478515625" w:hanging="340.5599975585937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Description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This course provides a survey of 20</w:t>
      </w:r>
      <w:r w:rsidDel="00000000" w:rsidR="00000000" w:rsidRPr="00000000">
        <w:rPr>
          <w:rFonts w:ascii="Garamond" w:cs="Garamond" w:eastAsia="Garamond" w:hAnsi="Garamond"/>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Century African history through the lens of  sport as a social practice. It seeks to answer two central and related questions: What can the  study of sport tell us about social, political, and cultural change in 20</w:t>
      </w:r>
      <w:r w:rsidDel="00000000" w:rsidR="00000000" w:rsidRPr="00000000">
        <w:rPr>
          <w:rFonts w:ascii="Garamond" w:cs="Garamond" w:eastAsia="Garamond" w:hAnsi="Garamond"/>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Century African history?  How have Africans across the continent and around the world understood, practiced, used, and  changed sports during this period? To answer these questions, students will explore units which  study indigenous African sporting practices, the colonial introduction of Western sport to the African continent, African responses to colonially derived sporting practices, the role of sport in  African independence movements and post-colonial nation-building efforts, challenges and  social barriers in sport and broader post-colonial African society, and the role of sport in  movements for human rights and community development in different African contexts.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93212890625" w:line="258.6965274810791" w:lineRule="auto"/>
        <w:ind w:left="358.5600280761719" w:right="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Through these topics, students will explore a range of themes central to the study of 20</w:t>
      </w:r>
      <w:r w:rsidDel="00000000" w:rsidR="00000000" w:rsidRPr="00000000">
        <w:rPr>
          <w:rFonts w:ascii="Garamond" w:cs="Garamond" w:eastAsia="Garamond" w:hAnsi="Garamond"/>
          <w:b w:val="0"/>
          <w:i w:val="0"/>
          <w:smallCaps w:val="0"/>
          <w:strike w:val="0"/>
          <w:color w:val="000000"/>
          <w:sz w:val="23.200000127156578"/>
          <w:szCs w:val="23.200000127156578"/>
          <w:u w:val="none"/>
          <w:shd w:fill="auto" w:val="clear"/>
          <w:vertAlign w:val="superscript"/>
          <w:rtl w:val="0"/>
        </w:rPr>
        <w:t xml:space="preserve">th</w:t>
      </w:r>
      <w:r w:rsidDel="00000000" w:rsidR="00000000" w:rsidRPr="00000000">
        <w:rPr>
          <w:rFonts w:ascii="Garamond" w:cs="Garamond" w:eastAsia="Garamond" w:hAnsi="Garamond"/>
          <w:b w:val="0"/>
          <w:i w:val="0"/>
          <w:smallCaps w:val="0"/>
          <w:strike w:val="0"/>
          <w:color w:val="000000"/>
          <w:sz w:val="13.920000076293945"/>
          <w:szCs w:val="13.920000076293945"/>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Century African history. These themes include how individual Africans have asserted their  agency by preserving and changing indigenous social practices to fit contemporary needs, how  Africans have adopted and adapted colonially derived social practices for their own benefit, and  how Africans and African communities have used sport to seek meaning and agency in the midst  of contested projects of colonialism, nation-building, economic development, and globalization.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37548828125" w:line="258.6964988708496" w:lineRule="auto"/>
        <w:ind w:left="364.0800476074219" w:right="214.560546875" w:firstLine="366.159973144531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Course materials include a range of primary and secondary source materials, including peer reviewed scholarly articles and book chapters, excerpts from memoires, transcribed interviews,  newspapers, recorded interviews, quantitative databases, and documentary films. Course  materials are designed to provide students with a view of 20</w:t>
      </w:r>
      <w:r w:rsidDel="00000000" w:rsidR="00000000" w:rsidRPr="00000000">
        <w:rPr>
          <w:rFonts w:ascii="Garamond" w:cs="Garamond" w:eastAsia="Garamond" w:hAnsi="Garamond"/>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Century African history from a  range of diverse, African perspectives and help students become comfortable with reading,  reviewing, and analyzing a range of historical sources. Assessments include map quizzes, short  analytical papers, reflection essays, self-assessments, and a research project. All assessments are designed for students to demonstrate knowledge of 20</w:t>
      </w:r>
      <w:r w:rsidDel="00000000" w:rsidR="00000000" w:rsidRPr="00000000">
        <w:rPr>
          <w:rFonts w:ascii="Garamond" w:cs="Garamond" w:eastAsia="Garamond" w:hAnsi="Garamond"/>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Century African history themes and  develop historical thinking skills, research capabilities, the ability to engage productively in  scholarly historical debates, and to engage in active self-assessment of intellectual growth  throughout the semester.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333984375" w:line="258.7440776824951" w:lineRule="auto"/>
        <w:ind w:left="364.320068359375" w:right="30.11962890625" w:firstLine="364.7200012207031"/>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Student progress will be evaluated and assessed through a range tools. Map quizzes will  assess students’ basic knowledge of contemporary African urban and political geography (i.e.  cities and nation-states). Short analytical papers will be assessed by the instructor based on a  rubric aimed at measuring historical thinking and writing skills. These assignments are designed  for students to improve their abilities to pose historically relevant arguments, utilize accurate and  representative evidence from a range of primary and secondary sources, summarize and analyze  evidence in support of an argument, and produce organized and clearly written essays that  achieve these goals.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6464023590088" w:lineRule="auto"/>
        <w:ind w:left="360" w:right="172.80029296875" w:firstLine="364.960021972656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 addition to these analytical papers, students will take part in a research project that  requires them to develop a relevant research question, find secondary and primary sources,  conduct independent research, and produce a paper and a presentation communicating their  findings. As a scaffolded and guided project, students will be required to submit a preliminary  research proposal, compile an annotated bibliography of secondary materials, meet with the  instructor to review progress and trouble-shoot problems, visit Loyola’s Office of Writing and  Learning Services for a rough draft consultation, submit a research paper to be reviewed by the  instructor, present their findings in class to their peers, and respond to instructor feedback on  the final research paper through a self-assessment to be turned in during exam week.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2802734375" w:line="259.1466808319092" w:lineRule="auto"/>
        <w:ind w:left="357.5999450683594" w:right="120.240478515625" w:firstLine="367.3600769042969"/>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 addition, throughout the semester, students will engage in a process of self-assessment in  which they will complete a series of short reflection papers, monthly journal entries, and self assessments aimed at engendering meta-analysis of their intellectual development.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373046875" w:line="258.691349029541" w:lineRule="auto"/>
        <w:ind w:left="361.4399719238281" w:right="5.400390625" w:hanging="356.159973144531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2.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Format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This course is organized in a combined seminar-lecture format. Classes will generally be  split between a question-answer discussion session and lecture. During the question-answer  session, students will be asked to read a short primary source which relates to the day’s assigned  preparation (i.e. previous night’s readings or viewing of a documentary). After reading the  primary source, students will be prompted with a discussion question and asked to take part in a  short, small-group discussion (2-3 people for approximately 3-5 minutes) in which they connect  the chosen primary source document to the themes and content of that day’s preparation. After  small-group discussions, students will be invited to share their responses and thoughts with the  class. During larger class discussions, we will work to identify the core arguments, takeaways,  and/or lessons from the assigned readings. These question-answer and discussion sessions will  generally last between 15-20 minutes. The remaining two-thirds of the period will be dedicated  to a lecture aimed at providing deeper/broader historical context for the subjects/themes under study. The goal of lectures will be to connect the themes of assigned readings to the historical  content and arguments under review for that week.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428466796875" w:line="259.2296504974365" w:lineRule="auto"/>
        <w:ind w:left="366.4799499511719" w:right="151.441650390625" w:hanging="357.1199035644531"/>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3.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Goals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In addition to providing an engaging and unique way of teaching African history, this  course seeks to contribute to the goals of the Loyola Core by achieving the learning outcomes  outlined under the History II course description. The course’s goals (i.e. learning outcomes) are  the following: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9022216796875" w:line="259.1463088989258" w:lineRule="auto"/>
        <w:ind w:left="1087.60009765625" w:right="258.641357421875"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To expand students’ abilities to understand, critique, and synthesize complex historical  arguments about the past based on reading and responding to a range of primary and  secondary source materials.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7353515625" w:line="257.89698600769043" w:lineRule="auto"/>
        <w:ind w:left="1087.60009765625" w:right="191.92138671875" w:hanging="363.6000061035156"/>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 To improve students’ abilities to build research bibliographies by finding, summarizing,  and describing quality sources on their own.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28271484375" w:line="258.89631271362305" w:lineRule="auto"/>
        <w:ind w:left="729.0400695800781" w:right="389.678955078125"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 To improve students’ abilities to draft, critique, revise, and answer research questions  that engage already existing scholarly debates through the use of peer-reviewed  secondary sources and primary source materials that they find on their own.</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7994995117187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4.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Grades &amp; Assessments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p>
    <w:tbl>
      <w:tblPr>
        <w:tblStyle w:val="Table1"/>
        <w:tblW w:w="9361.51962280273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10.9202575683594"/>
        <w:gridCol w:w="2830"/>
        <w:gridCol w:w="3120.599365234375"/>
        <w:tblGridChange w:id="0">
          <w:tblGrid>
            <w:gridCol w:w="3410.9202575683594"/>
            <w:gridCol w:w="2830"/>
            <w:gridCol w:w="3120.599365234375"/>
          </w:tblGrid>
        </w:tblGridChange>
      </w:tblGrid>
      <w:tr>
        <w:trPr>
          <w:cantSplit w:val="0"/>
          <w:trHeight w:val="49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06225585938" w:right="0" w:firstLine="0"/>
              <w:jc w:val="left"/>
              <w:rPr>
                <w:rFonts w:ascii="Garamond" w:cs="Garamond" w:eastAsia="Garamond" w:hAnsi="Garamond"/>
                <w:b w:val="0"/>
                <w:i w:val="0"/>
                <w:smallCaps w:val="0"/>
                <w:strike w:val="0"/>
                <w:color w:val="000000"/>
                <w:sz w:val="24"/>
                <w:szCs w:val="24"/>
                <w:u w:val="none"/>
                <w:shd w:fill="cccccc"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cccccc" w:val="clear"/>
                <w:vertAlign w:val="baseline"/>
                <w:rtl w:val="0"/>
              </w:rPr>
              <w:t xml:space="preserve">Course Goal or SLO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398193359375" w:right="0" w:firstLine="0"/>
              <w:jc w:val="left"/>
              <w:rPr>
                <w:rFonts w:ascii="Garamond" w:cs="Garamond" w:eastAsia="Garamond" w:hAnsi="Garamond"/>
                <w:b w:val="0"/>
                <w:i w:val="0"/>
                <w:smallCaps w:val="0"/>
                <w:strike w:val="0"/>
                <w:color w:val="000000"/>
                <w:sz w:val="24"/>
                <w:szCs w:val="24"/>
                <w:u w:val="none"/>
                <w:shd w:fill="cccccc"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cccccc" w:val="clear"/>
                <w:vertAlign w:val="baseline"/>
                <w:rtl w:val="0"/>
              </w:rPr>
              <w:t xml:space="preserve">Graded Assignment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196044921875" w:right="0" w:firstLine="0"/>
              <w:jc w:val="left"/>
              <w:rPr>
                <w:rFonts w:ascii="Garamond" w:cs="Garamond" w:eastAsia="Garamond" w:hAnsi="Garamond"/>
                <w:b w:val="0"/>
                <w:i w:val="0"/>
                <w:smallCaps w:val="0"/>
                <w:strike w:val="0"/>
                <w:color w:val="000000"/>
                <w:sz w:val="24"/>
                <w:szCs w:val="24"/>
                <w:u w:val="none"/>
                <w:shd w:fill="cccccc"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cccccc" w:val="clear"/>
                <w:vertAlign w:val="baseline"/>
                <w:rtl w:val="0"/>
              </w:rPr>
              <w:t xml:space="preserve">Course Assessment</w:t>
            </w:r>
          </w:p>
        </w:tc>
      </w:tr>
      <w:tr>
        <w:trPr>
          <w:cantSplit w:val="0"/>
          <w:trHeight w:val="2392.8015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8974723815918" w:lineRule="auto"/>
              <w:ind w:left="114.2401123046875" w:right="340.5999755859375" w:hanging="4.08004760742187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To expand students’ abilities to  understand, critique, and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314453125" w:line="258.89628410339355" w:lineRule="auto"/>
              <w:ind w:left="114.72015380859375" w:right="304.1204833984375" w:firstLine="8.88000488281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synthesize complex historical  arguments about the past based  on reading and responding to a  range of primary and secondary  source 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397583007812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Reaction Papers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90954780578613" w:lineRule="auto"/>
              <w:ind w:left="119.27978515625" w:right="234.119873046875"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See rubric for assessment  instrument (Course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40" w:lineRule="auto"/>
              <w:ind w:left="0" w:right="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Syllabus, Appendix C,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91045093536377" w:lineRule="auto"/>
              <w:ind w:left="488.399658203125" w:right="139.91943359375" w:hanging="7.680053710937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“Rection Paper Rubric,” p  18)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947265625" w:line="223.91045093536377" w:lineRule="auto"/>
              <w:ind w:left="119.27978515625" w:right="35.159912109375"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Benchmark will be for 70%  of students to achieve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947265625" w:line="240" w:lineRule="auto"/>
              <w:ind w:left="478.319702148437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desired criteria.</w:t>
            </w:r>
          </w:p>
        </w:tc>
      </w:tr>
      <w:tr>
        <w:trPr>
          <w:cantSplit w:val="0"/>
          <w:trHeight w:val="237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896541595459" w:lineRule="auto"/>
              <w:ind w:left="114.48013305664062" w:right="234.2803955078125" w:hanging="4.32006835937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To improve students’ abilities to  build research bibliographies by  finding, summarizing, and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43896484375" w:line="257.89647102355957" w:lineRule="auto"/>
              <w:ind w:left="119.04006958007812" w:right="71.32080078125" w:hanging="0.7199096679687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describing quality sources on their  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91057777404785" w:lineRule="auto"/>
              <w:ind w:left="115.43975830078125" w:right="86.800537109375" w:hanging="6.48010253906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Annotated Bibliography for  Research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91057777404785" w:lineRule="auto"/>
              <w:ind w:left="76.0797119140625" w:right="277.3193359375"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See rubric for assessment  instrument (Course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837890625" w:line="240" w:lineRule="auto"/>
              <w:ind w:left="436.31958007812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Syllabus, Appendix 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90992164611816" w:lineRule="auto"/>
              <w:ind w:left="432.239990234375" w:right="289.7998046875" w:firstLine="5.2795410156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“Annotated Bibliography  Rubric,” p 20)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0693359375" w:line="223.90992164611816" w:lineRule="auto"/>
              <w:ind w:left="76.0797119140625" w:right="78.359375"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Benchmark will be for 70%  of students to achieve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0693359375" w:line="240" w:lineRule="auto"/>
              <w:ind w:left="435.1196289062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desired criteria.</w:t>
            </w:r>
          </w:p>
        </w:tc>
      </w:tr>
      <w:tr>
        <w:trPr>
          <w:cantSplit w:val="0"/>
          <w:trHeight w:val="2705.1995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8011837005615" w:lineRule="auto"/>
              <w:ind w:left="114.72015380859375" w:right="135.400390625" w:hanging="4.5600891113281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To improve students’ abilities to  draft, critique, revise, and answer  research questions that engage  already existing scholarly debates  through the use of peer-reviewed  secondary sources and primary  source materials that they find on  their 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397583007812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Research Paper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91045093536377" w:lineRule="auto"/>
              <w:ind w:left="76.0797119140625" w:right="277.3193359375"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See rubric for assessment  instrument (Course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947265625" w:line="240" w:lineRule="auto"/>
              <w:ind w:left="436.31958007812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Syllabus, Appendix 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24308586120605" w:lineRule="auto"/>
              <w:ind w:left="432.4798583984375" w:right="66.839599609375" w:firstLine="5.03967285156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“Research Paper Rubric,” p  20)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1962890625" w:line="225.91007709503174" w:lineRule="auto"/>
              <w:ind w:left="76.0797119140625" w:right="78.359375"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Benchmark will be for 70%  of students to achieve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94482421875" w:line="240" w:lineRule="auto"/>
              <w:ind w:left="435.1196289062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desired criteria.</w:t>
            </w:r>
          </w:p>
        </w:tc>
      </w:tr>
    </w:tb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896541595459" w:lineRule="auto"/>
        <w:ind w:left="717.5199890136719" w:right="343.9208984375" w:hanging="345.2799987792969"/>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5.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Competencies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List the LC Core Competencies this course will specifically address. This  will tell the SCCC what university level assessments to apply with this course. a. Critical Thinking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347412109375" w:line="240" w:lineRule="auto"/>
        <w:ind w:left="1084.0000915527344"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 Communication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995849609375" w:line="240" w:lineRule="auto"/>
        <w:ind w:left="1089.0400695800781"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 Information Literacy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01416015625" w:line="257.89687156677246" w:lineRule="auto"/>
        <w:ind w:left="1691.9203186035156" w:right="11.201171875"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 Students will utilize information provided by the instructor, as well as sources  they find on their own. Students will be charged with finding, summarizing,  evaluating, and synthesizing peer-reviewed scholarly articles and primary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313232421875" w:line="257.896728515625" w:lineRule="auto"/>
        <w:ind w:left="2164.240264892578" w:right="175.560302734375" w:firstLine="8.88000488281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sources for their research project. Primary sources may include newspapers,  memoires, digitally available interviews, oral histories, and quantitative data,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313232421875" w:line="240" w:lineRule="auto"/>
        <w:ind w:left="0" w:right="906.7620849609375" w:firstLine="0"/>
        <w:jc w:val="righ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depending on students’ chosen research and analytical methodology.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0400695800781" w:line="259.8959541320801" w:lineRule="auto"/>
        <w:ind w:left="1087.60009765625" w:right="780.1611328125" w:hanging="715.8401489257812"/>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6.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Features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Are there additional criteria this course accomplishes or highlights (if any)? a. None</w:t>
      </w:r>
    </w:p>
    <w:sectPr>
      <w:pgSz w:h="15840" w:w="12240" w:orient="portrait"/>
      <w:pgMar w:bottom="1546.0800170898438" w:top="1406.800537109375" w:left="1440.4798889160156" w:right="1378.239746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